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55190" w14:textId="0A5D0385" w:rsidR="00CD5EB6" w:rsidRPr="0046688B" w:rsidRDefault="00535C5B" w:rsidP="00E2644C">
      <w:pPr>
        <w:jc w:val="both"/>
        <w:rPr>
          <w:rFonts w:ascii="Arial" w:hAnsi="Arial" w:cs="Arial"/>
          <w:b/>
          <w:bCs/>
          <w:sz w:val="26"/>
          <w:szCs w:val="26"/>
          <w:lang w:val="en-GB"/>
        </w:rPr>
      </w:pPr>
      <w:r w:rsidRPr="0046688B">
        <w:rPr>
          <w:rFonts w:ascii="Arial" w:hAnsi="Arial" w:cs="Arial"/>
          <w:b/>
          <w:bCs/>
          <w:sz w:val="26"/>
          <w:szCs w:val="26"/>
          <w:lang w:val="en-GB"/>
        </w:rPr>
        <w:t xml:space="preserve">Data </w:t>
      </w:r>
      <w:r w:rsidR="00D37379" w:rsidRPr="0046688B">
        <w:rPr>
          <w:rFonts w:ascii="Arial" w:hAnsi="Arial" w:cs="Arial"/>
          <w:b/>
          <w:bCs/>
          <w:sz w:val="26"/>
          <w:szCs w:val="26"/>
          <w:lang w:val="en-GB"/>
        </w:rPr>
        <w:t>Use</w:t>
      </w:r>
      <w:r w:rsidRPr="0046688B">
        <w:rPr>
          <w:rFonts w:ascii="Arial" w:hAnsi="Arial" w:cs="Arial"/>
          <w:b/>
          <w:bCs/>
          <w:sz w:val="26"/>
          <w:szCs w:val="26"/>
          <w:lang w:val="en-GB"/>
        </w:rPr>
        <w:t xml:space="preserve"> and Privacy</w:t>
      </w:r>
      <w:r w:rsidR="004C1641" w:rsidRPr="0046688B">
        <w:rPr>
          <w:rFonts w:ascii="Arial" w:hAnsi="Arial" w:cs="Arial"/>
          <w:b/>
          <w:bCs/>
          <w:sz w:val="26"/>
          <w:szCs w:val="26"/>
          <w:lang w:val="en-GB"/>
        </w:rPr>
        <w:t xml:space="preserve"> Statement</w:t>
      </w:r>
    </w:p>
    <w:p w14:paraId="6929C428" w14:textId="02572267" w:rsidR="002D0E28" w:rsidRPr="00166729" w:rsidRDefault="002D0E28" w:rsidP="00E2644C">
      <w:pPr>
        <w:jc w:val="both"/>
        <w:rPr>
          <w:rFonts w:ascii="Arial" w:hAnsi="Arial" w:cs="Arial"/>
          <w:b/>
          <w:bCs/>
          <w:sz w:val="20"/>
          <w:szCs w:val="20"/>
          <w:lang w:val="en-GB"/>
        </w:rPr>
      </w:pPr>
    </w:p>
    <w:p w14:paraId="111664A7" w14:textId="0DA97E85" w:rsidR="002D0E28" w:rsidRPr="00166729" w:rsidRDefault="002D0E28" w:rsidP="00E2644C">
      <w:pPr>
        <w:pStyle w:val="ListParagraph"/>
        <w:numPr>
          <w:ilvl w:val="0"/>
          <w:numId w:val="1"/>
        </w:numPr>
        <w:ind w:left="426" w:hanging="426"/>
        <w:jc w:val="both"/>
        <w:rPr>
          <w:rStyle w:val="IntenseReference"/>
          <w:rFonts w:ascii="Arial" w:hAnsi="Arial" w:cs="Arial"/>
          <w:color w:val="C00000"/>
          <w:sz w:val="20"/>
          <w:szCs w:val="20"/>
        </w:rPr>
      </w:pPr>
      <w:r w:rsidRPr="00166729">
        <w:rPr>
          <w:rStyle w:val="IntenseReference"/>
          <w:rFonts w:ascii="Arial" w:hAnsi="Arial" w:cs="Arial"/>
          <w:color w:val="C00000"/>
          <w:sz w:val="20"/>
          <w:szCs w:val="20"/>
        </w:rPr>
        <w:t xml:space="preserve">rational </w:t>
      </w:r>
    </w:p>
    <w:p w14:paraId="4D690743" w14:textId="4A7831E2" w:rsidR="002D0E28" w:rsidRPr="00166729" w:rsidRDefault="002D0E28" w:rsidP="00E2644C">
      <w:pPr>
        <w:jc w:val="both"/>
        <w:rPr>
          <w:rFonts w:ascii="Arial" w:hAnsi="Arial" w:cs="Arial"/>
          <w:sz w:val="20"/>
          <w:szCs w:val="20"/>
          <w:lang w:val="en-GB"/>
        </w:rPr>
      </w:pPr>
      <w:r w:rsidRPr="00166729">
        <w:rPr>
          <w:rFonts w:ascii="Arial" w:hAnsi="Arial" w:cs="Arial"/>
          <w:sz w:val="20"/>
          <w:szCs w:val="20"/>
          <w:lang w:val="en-GB"/>
        </w:rPr>
        <w:t>Your privacy is important to us. This privacy statement explains the official and personal data processes in relation to:</w:t>
      </w:r>
    </w:p>
    <w:p w14:paraId="0D877FE4" w14:textId="0E5FE342" w:rsidR="002A0641" w:rsidRDefault="00CC2285" w:rsidP="00E2644C">
      <w:pPr>
        <w:pStyle w:val="ListParagraph"/>
        <w:numPr>
          <w:ilvl w:val="0"/>
          <w:numId w:val="4"/>
        </w:numPr>
        <w:ind w:left="851" w:hanging="425"/>
        <w:jc w:val="both"/>
        <w:rPr>
          <w:rFonts w:ascii="Arial" w:hAnsi="Arial" w:cs="Arial"/>
          <w:sz w:val="20"/>
          <w:szCs w:val="20"/>
          <w:lang w:val="en-GB"/>
        </w:rPr>
      </w:pPr>
      <w:r>
        <w:rPr>
          <w:rFonts w:ascii="Arial" w:hAnsi="Arial" w:cs="Arial"/>
          <w:sz w:val="20"/>
          <w:szCs w:val="20"/>
          <w:lang w:val="en-GB"/>
        </w:rPr>
        <w:t>The p</w:t>
      </w:r>
      <w:r w:rsidR="002A0641" w:rsidRPr="00166729">
        <w:rPr>
          <w:rFonts w:ascii="Arial" w:hAnsi="Arial" w:cs="Arial"/>
          <w:sz w:val="20"/>
          <w:szCs w:val="20"/>
          <w:lang w:val="en-GB"/>
        </w:rPr>
        <w:t>urposes</w:t>
      </w:r>
      <w:r>
        <w:rPr>
          <w:rFonts w:ascii="Arial" w:hAnsi="Arial" w:cs="Arial"/>
          <w:sz w:val="20"/>
          <w:szCs w:val="20"/>
          <w:lang w:val="en-GB"/>
        </w:rPr>
        <w:t xml:space="preserve"> your data</w:t>
      </w:r>
      <w:r w:rsidR="002A0641" w:rsidRPr="00166729">
        <w:rPr>
          <w:rFonts w:ascii="Arial" w:hAnsi="Arial" w:cs="Arial"/>
          <w:sz w:val="20"/>
          <w:szCs w:val="20"/>
          <w:lang w:val="en-GB"/>
        </w:rPr>
        <w:t xml:space="preserve"> will be used</w:t>
      </w:r>
      <w:r w:rsidR="002A0641">
        <w:rPr>
          <w:rFonts w:ascii="Arial" w:hAnsi="Arial" w:cs="Arial"/>
          <w:sz w:val="20"/>
          <w:szCs w:val="20"/>
          <w:lang w:val="en-GB"/>
        </w:rPr>
        <w:t xml:space="preserve"> for,</w:t>
      </w:r>
    </w:p>
    <w:p w14:paraId="2A173EAA" w14:textId="52BFAE36" w:rsidR="002D0E28" w:rsidRPr="00166729" w:rsidRDefault="00CC2285" w:rsidP="00E2644C">
      <w:pPr>
        <w:pStyle w:val="ListParagraph"/>
        <w:numPr>
          <w:ilvl w:val="0"/>
          <w:numId w:val="4"/>
        </w:numPr>
        <w:ind w:left="851" w:hanging="425"/>
        <w:jc w:val="both"/>
        <w:rPr>
          <w:rFonts w:ascii="Arial" w:hAnsi="Arial" w:cs="Arial"/>
          <w:sz w:val="20"/>
          <w:szCs w:val="20"/>
          <w:lang w:val="en-GB"/>
        </w:rPr>
      </w:pPr>
      <w:r>
        <w:rPr>
          <w:rFonts w:ascii="Arial" w:hAnsi="Arial" w:cs="Arial"/>
          <w:sz w:val="20"/>
          <w:szCs w:val="20"/>
          <w:lang w:val="en-GB"/>
        </w:rPr>
        <w:t>The s</w:t>
      </w:r>
      <w:r w:rsidR="002D0E28" w:rsidRPr="00166729">
        <w:rPr>
          <w:rFonts w:ascii="Arial" w:hAnsi="Arial" w:cs="Arial"/>
          <w:sz w:val="20"/>
          <w:szCs w:val="20"/>
          <w:lang w:val="en-GB"/>
        </w:rPr>
        <w:t xml:space="preserve">ecurity and access to your data, </w:t>
      </w:r>
    </w:p>
    <w:p w14:paraId="51952C08" w14:textId="77E59F0B" w:rsidR="002D0E28" w:rsidRPr="00166729" w:rsidRDefault="002D0E28" w:rsidP="00E2644C">
      <w:pPr>
        <w:pStyle w:val="ListParagraph"/>
        <w:numPr>
          <w:ilvl w:val="0"/>
          <w:numId w:val="4"/>
        </w:numPr>
        <w:ind w:left="851" w:hanging="425"/>
        <w:jc w:val="both"/>
        <w:rPr>
          <w:rFonts w:ascii="Arial" w:hAnsi="Arial" w:cs="Arial"/>
          <w:sz w:val="20"/>
          <w:szCs w:val="20"/>
          <w:lang w:val="en-GB"/>
        </w:rPr>
      </w:pPr>
      <w:r w:rsidRPr="00166729">
        <w:rPr>
          <w:rFonts w:ascii="Arial" w:hAnsi="Arial" w:cs="Arial"/>
          <w:sz w:val="20"/>
          <w:szCs w:val="20"/>
          <w:lang w:val="en-GB"/>
        </w:rPr>
        <w:t>How your data will be processed,</w:t>
      </w:r>
      <w:r w:rsidR="002A0641">
        <w:rPr>
          <w:rFonts w:ascii="Arial" w:hAnsi="Arial" w:cs="Arial"/>
          <w:sz w:val="20"/>
          <w:szCs w:val="20"/>
          <w:lang w:val="en-GB"/>
        </w:rPr>
        <w:t xml:space="preserve"> and</w:t>
      </w:r>
    </w:p>
    <w:p w14:paraId="0B957A13" w14:textId="6A72F064" w:rsidR="005E6A2E" w:rsidRPr="00166729" w:rsidRDefault="00CC2285" w:rsidP="00E2644C">
      <w:pPr>
        <w:pStyle w:val="ListParagraph"/>
        <w:numPr>
          <w:ilvl w:val="0"/>
          <w:numId w:val="4"/>
        </w:numPr>
        <w:ind w:left="851" w:hanging="425"/>
        <w:jc w:val="both"/>
        <w:rPr>
          <w:rFonts w:ascii="Arial" w:hAnsi="Arial" w:cs="Arial"/>
          <w:sz w:val="20"/>
          <w:szCs w:val="20"/>
          <w:lang w:val="en-GB"/>
        </w:rPr>
      </w:pPr>
      <w:r>
        <w:rPr>
          <w:rFonts w:ascii="Arial" w:hAnsi="Arial" w:cs="Arial"/>
          <w:sz w:val="20"/>
          <w:szCs w:val="20"/>
          <w:lang w:val="en-GB"/>
        </w:rPr>
        <w:t>The r</w:t>
      </w:r>
      <w:r w:rsidR="005E6A2E">
        <w:rPr>
          <w:rFonts w:ascii="Arial" w:hAnsi="Arial" w:cs="Arial"/>
          <w:sz w:val="20"/>
          <w:szCs w:val="20"/>
          <w:lang w:val="en-GB"/>
        </w:rPr>
        <w:t xml:space="preserve">etention of </w:t>
      </w:r>
      <w:r>
        <w:rPr>
          <w:rFonts w:ascii="Arial" w:hAnsi="Arial" w:cs="Arial"/>
          <w:sz w:val="20"/>
          <w:szCs w:val="20"/>
          <w:lang w:val="en-GB"/>
        </w:rPr>
        <w:t xml:space="preserve">your </w:t>
      </w:r>
      <w:r w:rsidR="005E6A2E">
        <w:rPr>
          <w:rFonts w:ascii="Arial" w:hAnsi="Arial" w:cs="Arial"/>
          <w:sz w:val="20"/>
          <w:szCs w:val="20"/>
          <w:lang w:val="en-GB"/>
        </w:rPr>
        <w:t>data.</w:t>
      </w:r>
    </w:p>
    <w:p w14:paraId="3B10D9DB" w14:textId="77777777" w:rsidR="002D0E28" w:rsidRPr="00C24587" w:rsidRDefault="002D0E28" w:rsidP="00E2644C">
      <w:pPr>
        <w:jc w:val="both"/>
        <w:rPr>
          <w:rStyle w:val="IntenseReference"/>
          <w:rFonts w:ascii="Arial" w:hAnsi="Arial" w:cs="Arial"/>
          <w:b w:val="0"/>
          <w:bCs w:val="0"/>
          <w:color w:val="000000" w:themeColor="text1"/>
          <w:sz w:val="20"/>
          <w:szCs w:val="20"/>
        </w:rPr>
      </w:pPr>
    </w:p>
    <w:p w14:paraId="4987C92B" w14:textId="57B7A3B9" w:rsidR="000D4355" w:rsidRPr="00166729" w:rsidRDefault="000D4355" w:rsidP="00E2644C">
      <w:pPr>
        <w:pStyle w:val="ListParagraph"/>
        <w:numPr>
          <w:ilvl w:val="0"/>
          <w:numId w:val="1"/>
        </w:numPr>
        <w:ind w:left="426" w:hanging="426"/>
        <w:jc w:val="both"/>
        <w:rPr>
          <w:rStyle w:val="IntenseReference"/>
          <w:rFonts w:ascii="Arial" w:hAnsi="Arial" w:cs="Arial"/>
          <w:color w:val="C00000"/>
          <w:sz w:val="20"/>
          <w:szCs w:val="20"/>
        </w:rPr>
      </w:pPr>
      <w:r w:rsidRPr="00166729">
        <w:rPr>
          <w:rStyle w:val="IntenseReference"/>
          <w:rFonts w:ascii="Arial" w:hAnsi="Arial" w:cs="Arial"/>
          <w:color w:val="C00000"/>
          <w:sz w:val="20"/>
          <w:szCs w:val="20"/>
        </w:rPr>
        <w:t>Purpose</w:t>
      </w:r>
      <w:r w:rsidR="007414EC" w:rsidRPr="00166729">
        <w:rPr>
          <w:rStyle w:val="IntenseReference"/>
          <w:rFonts w:ascii="Arial" w:hAnsi="Arial" w:cs="Arial"/>
          <w:color w:val="C00000"/>
          <w:sz w:val="20"/>
          <w:szCs w:val="20"/>
        </w:rPr>
        <w:t xml:space="preserve"> and use</w:t>
      </w:r>
    </w:p>
    <w:p w14:paraId="40CBAA76" w14:textId="516484B2" w:rsidR="000D4355" w:rsidRPr="00166729" w:rsidRDefault="007414EC" w:rsidP="00E2644C">
      <w:pPr>
        <w:jc w:val="both"/>
        <w:rPr>
          <w:rFonts w:ascii="Arial" w:hAnsi="Arial" w:cs="Arial"/>
          <w:sz w:val="20"/>
          <w:szCs w:val="20"/>
          <w:lang w:val="en-GB"/>
        </w:rPr>
      </w:pPr>
      <w:r w:rsidRPr="00166729">
        <w:rPr>
          <w:rFonts w:ascii="Arial" w:hAnsi="Arial" w:cs="Arial"/>
          <w:sz w:val="20"/>
          <w:szCs w:val="20"/>
          <w:lang w:val="en-GB"/>
        </w:rPr>
        <w:t xml:space="preserve">The purpose of collecting individual data is to establish the current state of internal audit’s capacity related areas for development. This information will be used to develop targeted capacity building solutions that aims to redress </w:t>
      </w:r>
      <w:r w:rsidR="00272CBC" w:rsidRPr="00166729">
        <w:rPr>
          <w:rFonts w:ascii="Arial" w:hAnsi="Arial" w:cs="Arial"/>
          <w:sz w:val="20"/>
          <w:szCs w:val="20"/>
          <w:lang w:val="en-GB"/>
        </w:rPr>
        <w:t xml:space="preserve">the needs of internal audit, </w:t>
      </w:r>
      <w:r w:rsidRPr="00166729">
        <w:rPr>
          <w:rFonts w:ascii="Arial" w:hAnsi="Arial" w:cs="Arial"/>
          <w:sz w:val="20"/>
          <w:szCs w:val="20"/>
          <w:lang w:val="en-GB"/>
        </w:rPr>
        <w:t xml:space="preserve">particularly transversal capabilities that </w:t>
      </w:r>
      <w:r w:rsidR="00272CBC" w:rsidRPr="00166729">
        <w:rPr>
          <w:rFonts w:ascii="Arial" w:hAnsi="Arial" w:cs="Arial"/>
          <w:sz w:val="20"/>
          <w:szCs w:val="20"/>
          <w:lang w:val="en-GB"/>
        </w:rPr>
        <w:t>internal audit lacks</w:t>
      </w:r>
      <w:r w:rsidRPr="00166729">
        <w:rPr>
          <w:rFonts w:ascii="Arial" w:hAnsi="Arial" w:cs="Arial"/>
          <w:sz w:val="20"/>
          <w:szCs w:val="20"/>
          <w:lang w:val="en-GB"/>
        </w:rPr>
        <w:t>. Data will be collected and maintained anonymously.</w:t>
      </w:r>
      <w:r w:rsidR="00272CBC" w:rsidRPr="00166729">
        <w:rPr>
          <w:rFonts w:ascii="Arial" w:hAnsi="Arial" w:cs="Arial"/>
          <w:sz w:val="20"/>
          <w:szCs w:val="20"/>
          <w:lang w:val="en-GB"/>
        </w:rPr>
        <w:t xml:space="preserve"> The information will be used to report on statistically and in aggregate on results </w:t>
      </w:r>
      <w:r w:rsidR="00272CBC" w:rsidRPr="00712A97">
        <w:rPr>
          <w:rFonts w:ascii="Arial" w:hAnsi="Arial" w:cs="Arial"/>
          <w:sz w:val="20"/>
          <w:szCs w:val="20"/>
          <w:lang w:val="en-GB"/>
        </w:rPr>
        <w:t>emanating from the collection tools used to gather data.</w:t>
      </w:r>
      <w:r w:rsidR="00F71521" w:rsidRPr="00712A97">
        <w:rPr>
          <w:rFonts w:ascii="Arial" w:hAnsi="Arial" w:cs="Arial"/>
          <w:sz w:val="20"/>
          <w:szCs w:val="20"/>
          <w:lang w:val="en-GB"/>
        </w:rPr>
        <w:t xml:space="preserve"> </w:t>
      </w:r>
      <w:r w:rsidR="00AF36FA" w:rsidRPr="00712A97">
        <w:rPr>
          <w:rFonts w:ascii="Arial" w:hAnsi="Arial" w:cs="Arial"/>
          <w:sz w:val="20"/>
          <w:szCs w:val="20"/>
          <w:lang w:val="en-GB"/>
        </w:rPr>
        <w:t xml:space="preserve">The Tool is web-based and is hosted on </w:t>
      </w:r>
      <w:r w:rsidR="00F71521" w:rsidRPr="00712A97">
        <w:rPr>
          <w:rFonts w:ascii="Arial" w:hAnsi="Arial" w:cs="Arial"/>
          <w:sz w:val="20"/>
          <w:szCs w:val="20"/>
          <w:lang w:val="en-GB"/>
        </w:rPr>
        <w:t>SharePoint.</w:t>
      </w:r>
    </w:p>
    <w:p w14:paraId="477D86FC" w14:textId="5CDCCBA5" w:rsidR="00272CBC" w:rsidRPr="00166729" w:rsidRDefault="00272CBC" w:rsidP="00E2644C">
      <w:pPr>
        <w:jc w:val="both"/>
        <w:rPr>
          <w:rStyle w:val="IntenseReference"/>
          <w:rFonts w:ascii="Arial" w:hAnsi="Arial" w:cs="Arial"/>
          <w:b w:val="0"/>
          <w:bCs w:val="0"/>
          <w:color w:val="000000" w:themeColor="text1"/>
          <w:sz w:val="20"/>
          <w:szCs w:val="20"/>
        </w:rPr>
      </w:pPr>
    </w:p>
    <w:p w14:paraId="764A83DF" w14:textId="72A04FA6" w:rsidR="00272CBC" w:rsidRPr="00166729" w:rsidRDefault="00272CBC" w:rsidP="00E2644C">
      <w:pPr>
        <w:pStyle w:val="ListParagraph"/>
        <w:numPr>
          <w:ilvl w:val="0"/>
          <w:numId w:val="1"/>
        </w:numPr>
        <w:ind w:left="426" w:hanging="426"/>
        <w:jc w:val="both"/>
        <w:rPr>
          <w:rStyle w:val="IntenseReference"/>
          <w:rFonts w:ascii="Arial" w:hAnsi="Arial" w:cs="Arial"/>
          <w:color w:val="C00000"/>
          <w:sz w:val="20"/>
          <w:szCs w:val="20"/>
        </w:rPr>
      </w:pPr>
      <w:r w:rsidRPr="00166729">
        <w:rPr>
          <w:rStyle w:val="IntenseReference"/>
          <w:rFonts w:ascii="Arial" w:hAnsi="Arial" w:cs="Arial"/>
          <w:color w:val="C00000"/>
          <w:sz w:val="20"/>
          <w:szCs w:val="20"/>
        </w:rPr>
        <w:t>Security</w:t>
      </w:r>
      <w:r w:rsidR="00455F07">
        <w:rPr>
          <w:rStyle w:val="IntenseReference"/>
          <w:rFonts w:ascii="Arial" w:hAnsi="Arial" w:cs="Arial"/>
          <w:color w:val="C00000"/>
          <w:sz w:val="20"/>
          <w:szCs w:val="20"/>
        </w:rPr>
        <w:t xml:space="preserve"> and storage</w:t>
      </w:r>
    </w:p>
    <w:p w14:paraId="5996EF20" w14:textId="00622563" w:rsidR="000D4355" w:rsidRPr="00166729" w:rsidRDefault="001D3CB0" w:rsidP="00E2644C">
      <w:pPr>
        <w:jc w:val="both"/>
        <w:rPr>
          <w:rFonts w:ascii="Arial" w:hAnsi="Arial" w:cs="Arial"/>
          <w:sz w:val="20"/>
          <w:szCs w:val="20"/>
          <w:lang w:val="en-GB"/>
        </w:rPr>
      </w:pPr>
      <w:r w:rsidRPr="00166729">
        <w:rPr>
          <w:rFonts w:ascii="Arial" w:hAnsi="Arial" w:cs="Arial"/>
          <w:sz w:val="20"/>
          <w:szCs w:val="20"/>
          <w:lang w:val="en-GB"/>
        </w:rPr>
        <w:t xml:space="preserve">To ensure the safety, and or prevent loss of, and or unauthorised access to data collected, it is kept in </w:t>
      </w:r>
      <w:r w:rsidR="002F3588">
        <w:rPr>
          <w:rFonts w:ascii="Arial" w:hAnsi="Arial" w:cs="Arial"/>
          <w:sz w:val="20"/>
          <w:szCs w:val="20"/>
          <w:lang w:val="en-GB"/>
        </w:rPr>
        <w:t>National Treasury’s</w:t>
      </w:r>
      <w:r w:rsidRPr="00166729">
        <w:rPr>
          <w:rFonts w:ascii="Arial" w:hAnsi="Arial" w:cs="Arial"/>
          <w:sz w:val="20"/>
          <w:szCs w:val="20"/>
          <w:lang w:val="en-GB"/>
        </w:rPr>
        <w:t xml:space="preserve"> data centre protected by firewalls, </w:t>
      </w:r>
      <w:r w:rsidR="002F3588">
        <w:rPr>
          <w:rFonts w:ascii="Arial" w:hAnsi="Arial" w:cs="Arial"/>
          <w:sz w:val="20"/>
          <w:szCs w:val="20"/>
          <w:lang w:val="en-GB"/>
        </w:rPr>
        <w:t>backed up by SITA’s</w:t>
      </w:r>
      <w:r w:rsidRPr="00166729">
        <w:rPr>
          <w:rFonts w:ascii="Arial" w:hAnsi="Arial" w:cs="Arial"/>
          <w:sz w:val="20"/>
          <w:szCs w:val="20"/>
          <w:lang w:val="en-GB"/>
        </w:rPr>
        <w:t xml:space="preserve"> multiple layers of protection. </w:t>
      </w:r>
      <w:r w:rsidR="002F3588">
        <w:rPr>
          <w:rFonts w:ascii="Arial" w:hAnsi="Arial" w:cs="Arial"/>
          <w:sz w:val="20"/>
          <w:szCs w:val="20"/>
          <w:lang w:val="en-GB"/>
        </w:rPr>
        <w:t xml:space="preserve">In addition to the firewalls, National Treasury </w:t>
      </w:r>
      <w:r w:rsidR="002F3588" w:rsidRPr="00166729">
        <w:rPr>
          <w:rFonts w:ascii="Arial" w:hAnsi="Arial" w:cs="Arial"/>
          <w:sz w:val="20"/>
          <w:szCs w:val="20"/>
          <w:lang w:val="en-GB"/>
        </w:rPr>
        <w:t>also</w:t>
      </w:r>
      <w:r w:rsidR="002F3588">
        <w:rPr>
          <w:rFonts w:ascii="Arial" w:hAnsi="Arial" w:cs="Arial"/>
          <w:sz w:val="20"/>
          <w:szCs w:val="20"/>
          <w:lang w:val="en-GB"/>
        </w:rPr>
        <w:t xml:space="preserve"> implemented</w:t>
      </w:r>
      <w:r w:rsidR="002F3588" w:rsidRPr="00166729">
        <w:rPr>
          <w:rFonts w:ascii="Arial" w:hAnsi="Arial" w:cs="Arial"/>
          <w:sz w:val="20"/>
          <w:szCs w:val="20"/>
          <w:lang w:val="en-GB"/>
        </w:rPr>
        <w:t xml:space="preserve"> Data Leakage</w:t>
      </w:r>
      <w:r w:rsidR="002F3588">
        <w:rPr>
          <w:rFonts w:ascii="Arial" w:hAnsi="Arial" w:cs="Arial"/>
          <w:sz w:val="20"/>
          <w:szCs w:val="20"/>
          <w:lang w:val="en-GB"/>
        </w:rPr>
        <w:t xml:space="preserve"> Prevention (DLP)</w:t>
      </w:r>
      <w:r w:rsidR="002F3588" w:rsidRPr="00166729">
        <w:rPr>
          <w:rFonts w:ascii="Arial" w:hAnsi="Arial" w:cs="Arial"/>
          <w:sz w:val="20"/>
          <w:szCs w:val="20"/>
          <w:lang w:val="en-GB"/>
        </w:rPr>
        <w:t xml:space="preserve"> and protection </w:t>
      </w:r>
      <w:r w:rsidR="002F3588">
        <w:rPr>
          <w:rFonts w:ascii="Arial" w:hAnsi="Arial" w:cs="Arial"/>
          <w:sz w:val="20"/>
          <w:szCs w:val="20"/>
          <w:lang w:val="en-GB"/>
        </w:rPr>
        <w:t>to ensure integrity of the data being processed and prevention of leakage of data</w:t>
      </w:r>
      <w:r w:rsidRPr="00166729">
        <w:rPr>
          <w:rFonts w:ascii="Arial" w:hAnsi="Arial" w:cs="Arial"/>
          <w:sz w:val="20"/>
          <w:szCs w:val="20"/>
          <w:lang w:val="en-GB"/>
        </w:rPr>
        <w:t>.</w:t>
      </w:r>
      <w:r w:rsidR="00946D20" w:rsidRPr="00166729">
        <w:rPr>
          <w:rFonts w:ascii="Arial" w:hAnsi="Arial" w:cs="Arial"/>
          <w:sz w:val="20"/>
          <w:szCs w:val="20"/>
          <w:lang w:val="en-GB"/>
        </w:rPr>
        <w:t xml:space="preserve"> The data is stored in the SQL environment, in a central data storage </w:t>
      </w:r>
      <w:r w:rsidR="00712A97">
        <w:rPr>
          <w:rFonts w:ascii="Arial" w:hAnsi="Arial" w:cs="Arial"/>
          <w:sz w:val="20"/>
          <w:szCs w:val="20"/>
          <w:lang w:val="en-GB"/>
        </w:rPr>
        <w:t>facility</w:t>
      </w:r>
      <w:r w:rsidR="00946D20" w:rsidRPr="00166729">
        <w:rPr>
          <w:rFonts w:ascii="Arial" w:hAnsi="Arial" w:cs="Arial"/>
          <w:sz w:val="20"/>
          <w:szCs w:val="20"/>
          <w:lang w:val="en-GB"/>
        </w:rPr>
        <w:t xml:space="preserve">. </w:t>
      </w:r>
    </w:p>
    <w:p w14:paraId="779EA231" w14:textId="77777777" w:rsidR="001D3CB0" w:rsidRPr="00166729" w:rsidRDefault="001D3CB0" w:rsidP="00E2644C">
      <w:pPr>
        <w:jc w:val="both"/>
        <w:rPr>
          <w:rFonts w:ascii="Arial" w:hAnsi="Arial" w:cs="Arial"/>
          <w:sz w:val="20"/>
          <w:szCs w:val="20"/>
          <w:lang w:val="en-GB"/>
        </w:rPr>
      </w:pPr>
    </w:p>
    <w:p w14:paraId="5D9BFC14" w14:textId="77777777" w:rsidR="001D3CB0" w:rsidRPr="00166729" w:rsidRDefault="001D3CB0" w:rsidP="00E2644C">
      <w:pPr>
        <w:pStyle w:val="ListParagraph"/>
        <w:numPr>
          <w:ilvl w:val="0"/>
          <w:numId w:val="1"/>
        </w:numPr>
        <w:ind w:left="426" w:hanging="426"/>
        <w:jc w:val="both"/>
        <w:rPr>
          <w:rStyle w:val="IntenseReference"/>
          <w:rFonts w:ascii="Arial" w:hAnsi="Arial" w:cs="Arial"/>
          <w:color w:val="C00000"/>
          <w:sz w:val="20"/>
          <w:szCs w:val="20"/>
        </w:rPr>
      </w:pPr>
      <w:r w:rsidRPr="00166729">
        <w:rPr>
          <w:rStyle w:val="IntenseReference"/>
          <w:rFonts w:ascii="Arial" w:hAnsi="Arial" w:cs="Arial"/>
          <w:color w:val="C00000"/>
          <w:sz w:val="20"/>
          <w:szCs w:val="20"/>
        </w:rPr>
        <w:t>Access</w:t>
      </w:r>
    </w:p>
    <w:p w14:paraId="27936BD1" w14:textId="019994EC" w:rsidR="001D3CB0" w:rsidRPr="00166729" w:rsidRDefault="00E302EF" w:rsidP="00E2644C">
      <w:pPr>
        <w:jc w:val="both"/>
        <w:rPr>
          <w:rFonts w:ascii="Arial" w:hAnsi="Arial" w:cs="Arial"/>
          <w:sz w:val="20"/>
          <w:szCs w:val="20"/>
          <w:lang w:val="en-GB"/>
        </w:rPr>
      </w:pPr>
      <w:r w:rsidRPr="00166729">
        <w:rPr>
          <w:rFonts w:ascii="Arial" w:hAnsi="Arial" w:cs="Arial"/>
          <w:sz w:val="20"/>
          <w:szCs w:val="20"/>
          <w:lang w:val="en-GB"/>
        </w:rPr>
        <w:t>I</w:t>
      </w:r>
      <w:r w:rsidR="00144C9A" w:rsidRPr="00166729">
        <w:rPr>
          <w:rFonts w:ascii="Arial" w:hAnsi="Arial" w:cs="Arial"/>
          <w:sz w:val="20"/>
          <w:szCs w:val="20"/>
          <w:lang w:val="en-GB"/>
        </w:rPr>
        <w:t xml:space="preserve">ndividual </w:t>
      </w:r>
      <w:r w:rsidR="00ED184C" w:rsidRPr="00166729">
        <w:rPr>
          <w:rFonts w:ascii="Arial" w:hAnsi="Arial" w:cs="Arial"/>
          <w:sz w:val="20"/>
          <w:szCs w:val="20"/>
          <w:lang w:val="en-GB"/>
        </w:rPr>
        <w:t xml:space="preserve">institutions will only have access to their data and no other institution’s. National Treasury will have access to all </w:t>
      </w:r>
      <w:r w:rsidR="00144C9A" w:rsidRPr="00166729">
        <w:rPr>
          <w:rFonts w:ascii="Arial" w:hAnsi="Arial" w:cs="Arial"/>
          <w:sz w:val="20"/>
          <w:szCs w:val="20"/>
          <w:lang w:val="en-GB"/>
        </w:rPr>
        <w:t>data.</w:t>
      </w:r>
      <w:r w:rsidR="009B12D3" w:rsidRPr="00166729">
        <w:rPr>
          <w:rFonts w:ascii="Arial" w:hAnsi="Arial" w:cs="Arial"/>
          <w:sz w:val="20"/>
          <w:szCs w:val="20"/>
          <w:lang w:val="en-GB"/>
        </w:rPr>
        <w:t xml:space="preserve"> Provincial Treasuries will have access only to provincial departments and their respective municipalities data.</w:t>
      </w:r>
      <w:r w:rsidR="00144C9A" w:rsidRPr="00166729">
        <w:rPr>
          <w:rFonts w:ascii="Arial" w:hAnsi="Arial" w:cs="Arial"/>
          <w:sz w:val="20"/>
          <w:szCs w:val="20"/>
          <w:lang w:val="en-GB"/>
        </w:rPr>
        <w:t xml:space="preserve"> National Treasury </w:t>
      </w:r>
      <w:r w:rsidR="009B12D3" w:rsidRPr="00166729">
        <w:rPr>
          <w:rFonts w:ascii="Arial" w:hAnsi="Arial" w:cs="Arial"/>
          <w:sz w:val="20"/>
          <w:szCs w:val="20"/>
          <w:lang w:val="en-GB"/>
        </w:rPr>
        <w:t xml:space="preserve">and or Provincial Treasuries </w:t>
      </w:r>
      <w:r w:rsidR="00144C9A" w:rsidRPr="00166729">
        <w:rPr>
          <w:rFonts w:ascii="Arial" w:hAnsi="Arial" w:cs="Arial"/>
          <w:sz w:val="20"/>
          <w:szCs w:val="20"/>
          <w:lang w:val="en-GB"/>
        </w:rPr>
        <w:t>will report on the data statistically and or aggregated and where National Treasury</w:t>
      </w:r>
      <w:r w:rsidR="009B12D3" w:rsidRPr="00166729">
        <w:rPr>
          <w:rFonts w:ascii="Arial" w:hAnsi="Arial" w:cs="Arial"/>
          <w:sz w:val="20"/>
          <w:szCs w:val="20"/>
          <w:lang w:val="en-GB"/>
        </w:rPr>
        <w:t xml:space="preserve"> and or Provincial Treasuries</w:t>
      </w:r>
      <w:r w:rsidR="00144C9A" w:rsidRPr="00166729">
        <w:rPr>
          <w:rFonts w:ascii="Arial" w:hAnsi="Arial" w:cs="Arial"/>
          <w:sz w:val="20"/>
          <w:szCs w:val="20"/>
          <w:lang w:val="en-GB"/>
        </w:rPr>
        <w:t xml:space="preserve"> would like to </w:t>
      </w:r>
      <w:r w:rsidR="00712A97" w:rsidRPr="00166729">
        <w:rPr>
          <w:rFonts w:ascii="Arial" w:hAnsi="Arial" w:cs="Arial"/>
          <w:sz w:val="20"/>
          <w:szCs w:val="20"/>
          <w:lang w:val="en-GB"/>
        </w:rPr>
        <w:t>refer</w:t>
      </w:r>
      <w:r w:rsidR="00144C9A" w:rsidRPr="00166729">
        <w:rPr>
          <w:rFonts w:ascii="Arial" w:hAnsi="Arial" w:cs="Arial"/>
          <w:sz w:val="20"/>
          <w:szCs w:val="20"/>
          <w:lang w:val="en-GB"/>
        </w:rPr>
        <w:t xml:space="preserve"> to a specific institution’s information </w:t>
      </w:r>
      <w:r w:rsidR="009B12D3" w:rsidRPr="00166729">
        <w:rPr>
          <w:rFonts w:ascii="Arial" w:hAnsi="Arial" w:cs="Arial"/>
          <w:sz w:val="20"/>
          <w:szCs w:val="20"/>
          <w:lang w:val="en-GB"/>
        </w:rPr>
        <w:t xml:space="preserve">within their ambit </w:t>
      </w:r>
      <w:r w:rsidR="00144C9A" w:rsidRPr="00166729">
        <w:rPr>
          <w:rFonts w:ascii="Arial" w:hAnsi="Arial" w:cs="Arial"/>
          <w:sz w:val="20"/>
          <w:szCs w:val="20"/>
          <w:lang w:val="en-GB"/>
        </w:rPr>
        <w:t xml:space="preserve">for developmental purposes, permission will first be </w:t>
      </w:r>
      <w:r w:rsidRPr="00166729">
        <w:rPr>
          <w:rFonts w:ascii="Arial" w:hAnsi="Arial" w:cs="Arial"/>
          <w:sz w:val="20"/>
          <w:szCs w:val="20"/>
          <w:lang w:val="en-GB"/>
        </w:rPr>
        <w:t>sought</w:t>
      </w:r>
      <w:r w:rsidR="00144C9A" w:rsidRPr="00166729">
        <w:rPr>
          <w:rFonts w:ascii="Arial" w:hAnsi="Arial" w:cs="Arial"/>
          <w:sz w:val="20"/>
          <w:szCs w:val="20"/>
          <w:lang w:val="en-GB"/>
        </w:rPr>
        <w:t xml:space="preserve"> from the specific institution</w:t>
      </w:r>
      <w:r w:rsidRPr="00166729">
        <w:rPr>
          <w:rFonts w:ascii="Arial" w:hAnsi="Arial" w:cs="Arial"/>
          <w:sz w:val="20"/>
          <w:szCs w:val="20"/>
          <w:lang w:val="en-GB"/>
        </w:rPr>
        <w:t>(s)</w:t>
      </w:r>
      <w:r w:rsidR="00144C9A" w:rsidRPr="00166729">
        <w:rPr>
          <w:rFonts w:ascii="Arial" w:hAnsi="Arial" w:cs="Arial"/>
          <w:sz w:val="20"/>
          <w:szCs w:val="20"/>
          <w:lang w:val="en-GB"/>
        </w:rPr>
        <w:t xml:space="preserve">. </w:t>
      </w:r>
      <w:r w:rsidR="00ED184C" w:rsidRPr="00166729">
        <w:rPr>
          <w:rFonts w:ascii="Arial" w:hAnsi="Arial" w:cs="Arial"/>
          <w:sz w:val="20"/>
          <w:szCs w:val="20"/>
          <w:lang w:val="en-GB"/>
        </w:rPr>
        <w:t xml:space="preserve"> </w:t>
      </w:r>
      <w:r w:rsidR="00A150C5" w:rsidRPr="00166729">
        <w:rPr>
          <w:rFonts w:ascii="Arial" w:hAnsi="Arial" w:cs="Arial"/>
          <w:sz w:val="20"/>
          <w:szCs w:val="20"/>
          <w:lang w:val="en-GB"/>
        </w:rPr>
        <w:t>The following persons will have access to your data for the intended reasons as mentioned below:</w:t>
      </w:r>
    </w:p>
    <w:tbl>
      <w:tblPr>
        <w:tblStyle w:val="TableGrid"/>
        <w:tblW w:w="0" w:type="auto"/>
        <w:tblLook w:val="04A0" w:firstRow="1" w:lastRow="0" w:firstColumn="1" w:lastColumn="0" w:noHBand="0" w:noVBand="1"/>
      </w:tblPr>
      <w:tblGrid>
        <w:gridCol w:w="539"/>
        <w:gridCol w:w="4152"/>
        <w:gridCol w:w="4094"/>
      </w:tblGrid>
      <w:tr w:rsidR="00906B41" w:rsidRPr="00166729" w14:paraId="4D9F7B39" w14:textId="77777777" w:rsidTr="00E3457C">
        <w:trPr>
          <w:tblHeader/>
        </w:trPr>
        <w:tc>
          <w:tcPr>
            <w:tcW w:w="538" w:type="dxa"/>
            <w:tcBorders>
              <w:top w:val="dotted" w:sz="4" w:space="0" w:color="auto"/>
              <w:left w:val="dotted" w:sz="4" w:space="0" w:color="auto"/>
              <w:bottom w:val="dotted" w:sz="4" w:space="0" w:color="auto"/>
              <w:right w:val="dotted" w:sz="4" w:space="0" w:color="auto"/>
            </w:tcBorders>
            <w:shd w:val="clear" w:color="auto" w:fill="C00000"/>
          </w:tcPr>
          <w:p w14:paraId="699592D1" w14:textId="2B2187CC" w:rsidR="00906B41" w:rsidRPr="00166729" w:rsidRDefault="00906B41" w:rsidP="00E2644C">
            <w:pPr>
              <w:jc w:val="both"/>
              <w:rPr>
                <w:rFonts w:ascii="Arial" w:hAnsi="Arial" w:cs="Arial"/>
                <w:b/>
                <w:bCs/>
                <w:color w:val="FFFFFF" w:themeColor="background1"/>
                <w:sz w:val="20"/>
                <w:szCs w:val="20"/>
                <w:lang w:val="en-GB"/>
              </w:rPr>
            </w:pPr>
            <w:r w:rsidRPr="00166729">
              <w:rPr>
                <w:rFonts w:ascii="Arial" w:hAnsi="Arial" w:cs="Arial"/>
                <w:b/>
                <w:bCs/>
                <w:color w:val="FFFFFF" w:themeColor="background1"/>
                <w:sz w:val="20"/>
                <w:szCs w:val="20"/>
                <w:lang w:val="en-GB"/>
              </w:rPr>
              <w:t>No.</w:t>
            </w:r>
          </w:p>
        </w:tc>
        <w:tc>
          <w:tcPr>
            <w:tcW w:w="4152" w:type="dxa"/>
            <w:tcBorders>
              <w:top w:val="dotted" w:sz="4" w:space="0" w:color="auto"/>
              <w:left w:val="dotted" w:sz="4" w:space="0" w:color="auto"/>
              <w:bottom w:val="dotted" w:sz="4" w:space="0" w:color="auto"/>
              <w:right w:val="dotted" w:sz="4" w:space="0" w:color="auto"/>
            </w:tcBorders>
            <w:shd w:val="clear" w:color="auto" w:fill="C00000"/>
          </w:tcPr>
          <w:p w14:paraId="2A2E3FBB" w14:textId="13B62737" w:rsidR="00906B41" w:rsidRPr="00166729" w:rsidRDefault="00906B41" w:rsidP="00E2644C">
            <w:pPr>
              <w:jc w:val="both"/>
              <w:rPr>
                <w:rFonts w:ascii="Arial" w:hAnsi="Arial" w:cs="Arial"/>
                <w:b/>
                <w:bCs/>
                <w:color w:val="FFFFFF" w:themeColor="background1"/>
                <w:sz w:val="20"/>
                <w:szCs w:val="20"/>
                <w:lang w:val="en-GB"/>
              </w:rPr>
            </w:pPr>
            <w:r w:rsidRPr="00166729">
              <w:rPr>
                <w:rFonts w:ascii="Arial" w:hAnsi="Arial" w:cs="Arial"/>
                <w:b/>
                <w:bCs/>
                <w:color w:val="FFFFFF" w:themeColor="background1"/>
                <w:sz w:val="20"/>
                <w:szCs w:val="20"/>
                <w:lang w:val="en-GB"/>
              </w:rPr>
              <w:t>Access To</w:t>
            </w:r>
          </w:p>
        </w:tc>
        <w:tc>
          <w:tcPr>
            <w:tcW w:w="4094" w:type="dxa"/>
            <w:tcBorders>
              <w:top w:val="dotted" w:sz="4" w:space="0" w:color="auto"/>
              <w:left w:val="dotted" w:sz="4" w:space="0" w:color="auto"/>
              <w:bottom w:val="dotted" w:sz="4" w:space="0" w:color="auto"/>
              <w:right w:val="dotted" w:sz="4" w:space="0" w:color="auto"/>
            </w:tcBorders>
            <w:shd w:val="clear" w:color="auto" w:fill="C00000"/>
          </w:tcPr>
          <w:p w14:paraId="3D4C15DA" w14:textId="3C8BED8C" w:rsidR="00906B41" w:rsidRPr="00166729" w:rsidRDefault="00906B41" w:rsidP="00E2644C">
            <w:pPr>
              <w:jc w:val="both"/>
              <w:rPr>
                <w:rFonts w:ascii="Arial" w:hAnsi="Arial" w:cs="Arial"/>
                <w:b/>
                <w:bCs/>
                <w:color w:val="FFFFFF" w:themeColor="background1"/>
                <w:sz w:val="20"/>
                <w:szCs w:val="20"/>
                <w:lang w:val="en-GB"/>
              </w:rPr>
            </w:pPr>
            <w:r w:rsidRPr="00166729">
              <w:rPr>
                <w:rFonts w:ascii="Arial" w:hAnsi="Arial" w:cs="Arial"/>
                <w:b/>
                <w:bCs/>
                <w:color w:val="FFFFFF" w:themeColor="background1"/>
                <w:sz w:val="20"/>
                <w:szCs w:val="20"/>
                <w:lang w:val="en-GB"/>
              </w:rPr>
              <w:t>Access Parameters</w:t>
            </w:r>
          </w:p>
        </w:tc>
      </w:tr>
      <w:tr w:rsidR="00906B41" w:rsidRPr="00166729" w14:paraId="66A15CED" w14:textId="77777777" w:rsidTr="00906B41">
        <w:tc>
          <w:tcPr>
            <w:tcW w:w="538" w:type="dxa"/>
            <w:tcBorders>
              <w:top w:val="dotted" w:sz="4" w:space="0" w:color="auto"/>
              <w:left w:val="dotted" w:sz="4" w:space="0" w:color="auto"/>
              <w:bottom w:val="dotted" w:sz="4" w:space="0" w:color="auto"/>
              <w:right w:val="dotted" w:sz="4" w:space="0" w:color="auto"/>
            </w:tcBorders>
          </w:tcPr>
          <w:p w14:paraId="7A471365" w14:textId="77777777" w:rsidR="00906B41" w:rsidRPr="00166729" w:rsidRDefault="00906B41" w:rsidP="00E2644C">
            <w:pPr>
              <w:pStyle w:val="ListParagraph"/>
              <w:numPr>
                <w:ilvl w:val="0"/>
                <w:numId w:val="2"/>
              </w:numPr>
              <w:ind w:left="172" w:right="25" w:hanging="142"/>
              <w:jc w:val="both"/>
              <w:rPr>
                <w:rFonts w:ascii="Arial" w:hAnsi="Arial" w:cs="Arial"/>
                <w:sz w:val="20"/>
                <w:szCs w:val="20"/>
                <w:lang w:val="en-GB"/>
              </w:rPr>
            </w:pPr>
          </w:p>
        </w:tc>
        <w:tc>
          <w:tcPr>
            <w:tcW w:w="4152" w:type="dxa"/>
            <w:tcBorders>
              <w:top w:val="dotted" w:sz="4" w:space="0" w:color="auto"/>
              <w:left w:val="dotted" w:sz="4" w:space="0" w:color="auto"/>
              <w:bottom w:val="dotted" w:sz="4" w:space="0" w:color="auto"/>
              <w:right w:val="dotted" w:sz="4" w:space="0" w:color="auto"/>
            </w:tcBorders>
          </w:tcPr>
          <w:p w14:paraId="13BFF3CB" w14:textId="31C4DB39" w:rsidR="00906B41" w:rsidRPr="00166729" w:rsidRDefault="00906B41" w:rsidP="00E2644C">
            <w:pPr>
              <w:jc w:val="both"/>
              <w:rPr>
                <w:rFonts w:ascii="Arial" w:hAnsi="Arial" w:cs="Arial"/>
                <w:sz w:val="20"/>
                <w:szCs w:val="20"/>
                <w:lang w:val="en-GB"/>
              </w:rPr>
            </w:pPr>
            <w:r w:rsidRPr="00166729">
              <w:rPr>
                <w:rFonts w:ascii="Arial" w:eastAsia="Times New Roman" w:hAnsi="Arial" w:cs="Arial"/>
                <w:sz w:val="20"/>
                <w:szCs w:val="20"/>
              </w:rPr>
              <w:t>National Treasury Internal Audit Support</w:t>
            </w:r>
          </w:p>
        </w:tc>
        <w:tc>
          <w:tcPr>
            <w:tcW w:w="4094" w:type="dxa"/>
            <w:tcBorders>
              <w:top w:val="dotted" w:sz="4" w:space="0" w:color="auto"/>
              <w:left w:val="dotted" w:sz="4" w:space="0" w:color="auto"/>
              <w:bottom w:val="dotted" w:sz="4" w:space="0" w:color="auto"/>
              <w:right w:val="dotted" w:sz="4" w:space="0" w:color="auto"/>
            </w:tcBorders>
          </w:tcPr>
          <w:p w14:paraId="3395D8D0" w14:textId="3D0AF583" w:rsidR="00906B41" w:rsidRPr="00166729" w:rsidRDefault="00906B41" w:rsidP="00E2644C">
            <w:pPr>
              <w:jc w:val="both"/>
              <w:rPr>
                <w:rFonts w:ascii="Arial" w:hAnsi="Arial" w:cs="Arial"/>
                <w:sz w:val="20"/>
                <w:szCs w:val="20"/>
                <w:lang w:val="en-GB"/>
              </w:rPr>
            </w:pPr>
            <w:r w:rsidRPr="00166729">
              <w:rPr>
                <w:rFonts w:ascii="Arial" w:hAnsi="Arial" w:cs="Arial"/>
                <w:sz w:val="20"/>
                <w:szCs w:val="20"/>
                <w:lang w:val="en-GB"/>
              </w:rPr>
              <w:t>All National Departments, Provincial Treasuries, Provincial Departments, and Municipalities</w:t>
            </w:r>
          </w:p>
        </w:tc>
      </w:tr>
      <w:tr w:rsidR="00906B41" w:rsidRPr="00166729" w14:paraId="6CADA20B" w14:textId="77777777" w:rsidTr="00906B41">
        <w:tc>
          <w:tcPr>
            <w:tcW w:w="538" w:type="dxa"/>
            <w:tcBorders>
              <w:top w:val="dotted" w:sz="4" w:space="0" w:color="auto"/>
              <w:left w:val="dotted" w:sz="4" w:space="0" w:color="auto"/>
              <w:bottom w:val="dotted" w:sz="4" w:space="0" w:color="auto"/>
              <w:right w:val="dotted" w:sz="4" w:space="0" w:color="auto"/>
            </w:tcBorders>
          </w:tcPr>
          <w:p w14:paraId="5776E941" w14:textId="77777777" w:rsidR="00906B41" w:rsidRPr="00166729" w:rsidRDefault="00906B41" w:rsidP="00E2644C">
            <w:pPr>
              <w:pStyle w:val="ListParagraph"/>
              <w:numPr>
                <w:ilvl w:val="0"/>
                <w:numId w:val="2"/>
              </w:numPr>
              <w:ind w:left="172" w:right="25" w:hanging="142"/>
              <w:jc w:val="both"/>
              <w:rPr>
                <w:rFonts w:ascii="Arial" w:hAnsi="Arial" w:cs="Arial"/>
                <w:sz w:val="20"/>
                <w:szCs w:val="20"/>
                <w:lang w:val="en-GB"/>
              </w:rPr>
            </w:pPr>
          </w:p>
        </w:tc>
        <w:tc>
          <w:tcPr>
            <w:tcW w:w="4152" w:type="dxa"/>
            <w:tcBorders>
              <w:top w:val="dotted" w:sz="4" w:space="0" w:color="auto"/>
              <w:left w:val="dotted" w:sz="4" w:space="0" w:color="auto"/>
              <w:bottom w:val="dotted" w:sz="4" w:space="0" w:color="auto"/>
              <w:right w:val="dotted" w:sz="4" w:space="0" w:color="auto"/>
            </w:tcBorders>
          </w:tcPr>
          <w:p w14:paraId="07DF57CE" w14:textId="4B91F24C" w:rsidR="00906B41" w:rsidRPr="00166729" w:rsidRDefault="00906B41" w:rsidP="00E2644C">
            <w:pPr>
              <w:jc w:val="both"/>
              <w:rPr>
                <w:rFonts w:ascii="Arial" w:hAnsi="Arial" w:cs="Arial"/>
                <w:sz w:val="20"/>
                <w:szCs w:val="20"/>
                <w:lang w:val="en-GB"/>
              </w:rPr>
            </w:pPr>
            <w:r w:rsidRPr="00166729">
              <w:rPr>
                <w:rFonts w:ascii="Arial" w:eastAsia="Times New Roman" w:hAnsi="Arial" w:cs="Arial"/>
                <w:sz w:val="20"/>
                <w:szCs w:val="20"/>
              </w:rPr>
              <w:t>National Treasury Capacity Building</w:t>
            </w:r>
          </w:p>
        </w:tc>
        <w:tc>
          <w:tcPr>
            <w:tcW w:w="4094" w:type="dxa"/>
            <w:tcBorders>
              <w:top w:val="dotted" w:sz="4" w:space="0" w:color="auto"/>
              <w:left w:val="dotted" w:sz="4" w:space="0" w:color="auto"/>
              <w:bottom w:val="dotted" w:sz="4" w:space="0" w:color="auto"/>
              <w:right w:val="dotted" w:sz="4" w:space="0" w:color="auto"/>
            </w:tcBorders>
          </w:tcPr>
          <w:p w14:paraId="4B4751FA" w14:textId="491DA222" w:rsidR="00906B41" w:rsidRPr="00166729" w:rsidRDefault="00906B41" w:rsidP="00E2644C">
            <w:pPr>
              <w:jc w:val="both"/>
              <w:rPr>
                <w:rFonts w:ascii="Arial" w:hAnsi="Arial" w:cs="Arial"/>
                <w:sz w:val="20"/>
                <w:szCs w:val="20"/>
                <w:lang w:val="en-GB"/>
              </w:rPr>
            </w:pPr>
            <w:r w:rsidRPr="00166729">
              <w:rPr>
                <w:rFonts w:ascii="Arial" w:hAnsi="Arial" w:cs="Arial"/>
                <w:sz w:val="20"/>
                <w:szCs w:val="20"/>
                <w:lang w:val="en-GB"/>
              </w:rPr>
              <w:t>All National Departments, Provincial Treasuries, Provincial Departments, and Municipalities</w:t>
            </w:r>
          </w:p>
        </w:tc>
      </w:tr>
      <w:tr w:rsidR="00906B41" w:rsidRPr="00166729" w14:paraId="14DE91D8" w14:textId="77777777" w:rsidTr="00906B41">
        <w:tc>
          <w:tcPr>
            <w:tcW w:w="538" w:type="dxa"/>
            <w:tcBorders>
              <w:top w:val="dotted" w:sz="4" w:space="0" w:color="auto"/>
              <w:left w:val="dotted" w:sz="4" w:space="0" w:color="auto"/>
              <w:bottom w:val="dotted" w:sz="4" w:space="0" w:color="auto"/>
              <w:right w:val="dotted" w:sz="4" w:space="0" w:color="auto"/>
            </w:tcBorders>
          </w:tcPr>
          <w:p w14:paraId="5C2E63E0" w14:textId="77777777" w:rsidR="00906B41" w:rsidRPr="00166729" w:rsidRDefault="00906B41" w:rsidP="00E2644C">
            <w:pPr>
              <w:pStyle w:val="ListParagraph"/>
              <w:numPr>
                <w:ilvl w:val="0"/>
                <w:numId w:val="2"/>
              </w:numPr>
              <w:ind w:left="172" w:right="25" w:hanging="142"/>
              <w:jc w:val="both"/>
              <w:rPr>
                <w:rFonts w:ascii="Arial" w:hAnsi="Arial" w:cs="Arial"/>
                <w:sz w:val="20"/>
                <w:szCs w:val="20"/>
                <w:lang w:val="en-GB"/>
              </w:rPr>
            </w:pPr>
          </w:p>
        </w:tc>
        <w:tc>
          <w:tcPr>
            <w:tcW w:w="4152" w:type="dxa"/>
            <w:tcBorders>
              <w:top w:val="dotted" w:sz="4" w:space="0" w:color="auto"/>
              <w:left w:val="dotted" w:sz="4" w:space="0" w:color="auto"/>
              <w:bottom w:val="dotted" w:sz="4" w:space="0" w:color="auto"/>
              <w:right w:val="dotted" w:sz="4" w:space="0" w:color="auto"/>
            </w:tcBorders>
          </w:tcPr>
          <w:p w14:paraId="7ABA6728" w14:textId="6BBA5C9F" w:rsidR="00906B41" w:rsidRPr="00166729" w:rsidRDefault="00906B41" w:rsidP="00E2644C">
            <w:pPr>
              <w:jc w:val="both"/>
              <w:rPr>
                <w:rFonts w:ascii="Arial" w:hAnsi="Arial" w:cs="Arial"/>
                <w:sz w:val="20"/>
                <w:szCs w:val="20"/>
                <w:lang w:val="en-GB"/>
              </w:rPr>
            </w:pPr>
            <w:r w:rsidRPr="00166729">
              <w:rPr>
                <w:rFonts w:ascii="Arial" w:eastAsia="Times New Roman" w:hAnsi="Arial" w:cs="Arial"/>
                <w:sz w:val="20"/>
                <w:szCs w:val="20"/>
              </w:rPr>
              <w:t>Provincial Treasury Internal Audit Support</w:t>
            </w:r>
          </w:p>
        </w:tc>
        <w:tc>
          <w:tcPr>
            <w:tcW w:w="4094" w:type="dxa"/>
            <w:tcBorders>
              <w:top w:val="dotted" w:sz="4" w:space="0" w:color="auto"/>
              <w:left w:val="dotted" w:sz="4" w:space="0" w:color="auto"/>
              <w:bottom w:val="dotted" w:sz="4" w:space="0" w:color="auto"/>
              <w:right w:val="dotted" w:sz="4" w:space="0" w:color="auto"/>
            </w:tcBorders>
          </w:tcPr>
          <w:p w14:paraId="28350A3F" w14:textId="4D1D5A3F" w:rsidR="00906B41" w:rsidRPr="00166729" w:rsidRDefault="00906B41" w:rsidP="00E2644C">
            <w:pPr>
              <w:jc w:val="both"/>
              <w:rPr>
                <w:rFonts w:ascii="Arial" w:hAnsi="Arial" w:cs="Arial"/>
                <w:sz w:val="20"/>
                <w:szCs w:val="20"/>
                <w:lang w:val="en-GB"/>
              </w:rPr>
            </w:pPr>
            <w:r w:rsidRPr="00166729">
              <w:rPr>
                <w:rFonts w:ascii="Arial" w:hAnsi="Arial" w:cs="Arial"/>
                <w:sz w:val="20"/>
                <w:szCs w:val="20"/>
                <w:lang w:val="en-GB"/>
              </w:rPr>
              <w:t>Respective Province’s Provincial Departments and Municipalities</w:t>
            </w:r>
          </w:p>
        </w:tc>
      </w:tr>
      <w:tr w:rsidR="00906B41" w:rsidRPr="00166729" w14:paraId="2DBFD9D0" w14:textId="77777777" w:rsidTr="00906B41">
        <w:tc>
          <w:tcPr>
            <w:tcW w:w="538" w:type="dxa"/>
            <w:tcBorders>
              <w:top w:val="dotted" w:sz="4" w:space="0" w:color="auto"/>
              <w:left w:val="dotted" w:sz="4" w:space="0" w:color="auto"/>
              <w:bottom w:val="dotted" w:sz="4" w:space="0" w:color="auto"/>
              <w:right w:val="dotted" w:sz="4" w:space="0" w:color="auto"/>
            </w:tcBorders>
          </w:tcPr>
          <w:p w14:paraId="398DCC0F" w14:textId="77777777" w:rsidR="00906B41" w:rsidRPr="00166729" w:rsidRDefault="00906B41" w:rsidP="00E2644C">
            <w:pPr>
              <w:pStyle w:val="ListParagraph"/>
              <w:numPr>
                <w:ilvl w:val="0"/>
                <w:numId w:val="2"/>
              </w:numPr>
              <w:ind w:left="172" w:right="25" w:hanging="142"/>
              <w:jc w:val="both"/>
              <w:rPr>
                <w:rFonts w:ascii="Arial" w:hAnsi="Arial" w:cs="Arial"/>
                <w:sz w:val="20"/>
                <w:szCs w:val="20"/>
                <w:lang w:val="en-GB"/>
              </w:rPr>
            </w:pPr>
          </w:p>
        </w:tc>
        <w:tc>
          <w:tcPr>
            <w:tcW w:w="4152" w:type="dxa"/>
            <w:tcBorders>
              <w:top w:val="dotted" w:sz="4" w:space="0" w:color="auto"/>
              <w:left w:val="dotted" w:sz="4" w:space="0" w:color="auto"/>
              <w:bottom w:val="dotted" w:sz="4" w:space="0" w:color="auto"/>
              <w:right w:val="dotted" w:sz="4" w:space="0" w:color="auto"/>
            </w:tcBorders>
          </w:tcPr>
          <w:p w14:paraId="0FDA24F5" w14:textId="67802D61" w:rsidR="00906B41" w:rsidRPr="00166729" w:rsidRDefault="00906B41" w:rsidP="00E2644C">
            <w:pPr>
              <w:jc w:val="both"/>
              <w:rPr>
                <w:rFonts w:ascii="Arial" w:hAnsi="Arial" w:cs="Arial"/>
                <w:sz w:val="20"/>
                <w:szCs w:val="20"/>
                <w:lang w:val="en-GB"/>
              </w:rPr>
            </w:pPr>
            <w:r w:rsidRPr="00166729">
              <w:rPr>
                <w:rFonts w:ascii="Arial" w:eastAsia="Times New Roman" w:hAnsi="Arial" w:cs="Arial"/>
                <w:sz w:val="20"/>
                <w:szCs w:val="20"/>
              </w:rPr>
              <w:t>Provincial Treasury Internal Audit Function</w:t>
            </w:r>
          </w:p>
        </w:tc>
        <w:tc>
          <w:tcPr>
            <w:tcW w:w="4094" w:type="dxa"/>
            <w:tcBorders>
              <w:top w:val="dotted" w:sz="4" w:space="0" w:color="auto"/>
              <w:left w:val="dotted" w:sz="4" w:space="0" w:color="auto"/>
              <w:bottom w:val="dotted" w:sz="4" w:space="0" w:color="auto"/>
              <w:right w:val="dotted" w:sz="4" w:space="0" w:color="auto"/>
            </w:tcBorders>
          </w:tcPr>
          <w:p w14:paraId="6CDAC011" w14:textId="2FE526F6" w:rsidR="00906B41" w:rsidRPr="00166729" w:rsidRDefault="00906B41" w:rsidP="00E2644C">
            <w:pPr>
              <w:jc w:val="both"/>
              <w:rPr>
                <w:rFonts w:ascii="Arial" w:hAnsi="Arial" w:cs="Arial"/>
                <w:sz w:val="20"/>
                <w:szCs w:val="20"/>
                <w:lang w:val="en-GB"/>
              </w:rPr>
            </w:pPr>
            <w:r w:rsidRPr="00166729">
              <w:rPr>
                <w:rFonts w:ascii="Arial" w:hAnsi="Arial" w:cs="Arial"/>
                <w:sz w:val="20"/>
                <w:szCs w:val="20"/>
                <w:lang w:val="en-GB"/>
              </w:rPr>
              <w:t>Applicable Internal Audit Function (IAF)</w:t>
            </w:r>
          </w:p>
        </w:tc>
      </w:tr>
      <w:tr w:rsidR="00906B41" w:rsidRPr="00166729" w14:paraId="5B34BACD" w14:textId="77777777" w:rsidTr="00906B41">
        <w:tc>
          <w:tcPr>
            <w:tcW w:w="538" w:type="dxa"/>
            <w:tcBorders>
              <w:top w:val="dotted" w:sz="4" w:space="0" w:color="auto"/>
              <w:left w:val="dotted" w:sz="4" w:space="0" w:color="auto"/>
              <w:bottom w:val="dotted" w:sz="4" w:space="0" w:color="auto"/>
              <w:right w:val="dotted" w:sz="4" w:space="0" w:color="auto"/>
            </w:tcBorders>
          </w:tcPr>
          <w:p w14:paraId="3413C9D8" w14:textId="77777777" w:rsidR="00906B41" w:rsidRPr="00166729" w:rsidRDefault="00906B41" w:rsidP="00E2644C">
            <w:pPr>
              <w:pStyle w:val="ListParagraph"/>
              <w:numPr>
                <w:ilvl w:val="0"/>
                <w:numId w:val="2"/>
              </w:numPr>
              <w:ind w:left="172" w:right="25" w:hanging="142"/>
              <w:jc w:val="both"/>
              <w:rPr>
                <w:rFonts w:ascii="Arial" w:hAnsi="Arial" w:cs="Arial"/>
                <w:sz w:val="20"/>
                <w:szCs w:val="20"/>
                <w:lang w:val="en-GB"/>
              </w:rPr>
            </w:pPr>
          </w:p>
        </w:tc>
        <w:tc>
          <w:tcPr>
            <w:tcW w:w="4152" w:type="dxa"/>
            <w:tcBorders>
              <w:top w:val="dotted" w:sz="4" w:space="0" w:color="auto"/>
              <w:left w:val="dotted" w:sz="4" w:space="0" w:color="auto"/>
              <w:bottom w:val="dotted" w:sz="4" w:space="0" w:color="auto"/>
              <w:right w:val="dotted" w:sz="4" w:space="0" w:color="auto"/>
            </w:tcBorders>
          </w:tcPr>
          <w:p w14:paraId="01FD7B14" w14:textId="41D7DFEE" w:rsidR="00906B41" w:rsidRPr="00166729" w:rsidRDefault="00906B41" w:rsidP="00E2644C">
            <w:pPr>
              <w:jc w:val="both"/>
              <w:rPr>
                <w:rFonts w:ascii="Arial" w:eastAsia="Times New Roman" w:hAnsi="Arial" w:cs="Arial"/>
                <w:sz w:val="20"/>
                <w:szCs w:val="20"/>
              </w:rPr>
            </w:pPr>
            <w:r w:rsidRPr="00166729">
              <w:rPr>
                <w:rFonts w:ascii="Arial" w:eastAsia="Times New Roman" w:hAnsi="Arial" w:cs="Arial"/>
                <w:sz w:val="20"/>
                <w:szCs w:val="20"/>
              </w:rPr>
              <w:t>Heads of Internal Audit and:</w:t>
            </w:r>
          </w:p>
          <w:p w14:paraId="0EE3D687" w14:textId="0C7B1392" w:rsidR="00906B41" w:rsidRPr="00166729" w:rsidRDefault="00906B41" w:rsidP="00E2644C">
            <w:pPr>
              <w:pStyle w:val="ListParagraph"/>
              <w:numPr>
                <w:ilvl w:val="0"/>
                <w:numId w:val="3"/>
              </w:numPr>
              <w:ind w:left="342" w:hanging="342"/>
              <w:jc w:val="both"/>
              <w:rPr>
                <w:rFonts w:ascii="Arial" w:eastAsia="Times New Roman" w:hAnsi="Arial" w:cs="Arial"/>
                <w:sz w:val="20"/>
                <w:szCs w:val="20"/>
              </w:rPr>
            </w:pPr>
            <w:r w:rsidRPr="00166729">
              <w:rPr>
                <w:rFonts w:ascii="Arial" w:eastAsia="Times New Roman" w:hAnsi="Arial" w:cs="Arial"/>
                <w:sz w:val="20"/>
                <w:szCs w:val="20"/>
              </w:rPr>
              <w:t>Institution nominated Self-assessor (</w:t>
            </w:r>
            <w:proofErr w:type="gramStart"/>
            <w:r w:rsidRPr="00166729">
              <w:rPr>
                <w:rFonts w:ascii="Arial" w:eastAsia="Times New Roman" w:hAnsi="Arial" w:cs="Arial"/>
                <w:sz w:val="20"/>
                <w:szCs w:val="20"/>
              </w:rPr>
              <w:t>i.e.</w:t>
            </w:r>
            <w:proofErr w:type="gramEnd"/>
            <w:r w:rsidRPr="00166729">
              <w:rPr>
                <w:rFonts w:ascii="Arial" w:eastAsia="Times New Roman" w:hAnsi="Arial" w:cs="Arial"/>
                <w:sz w:val="20"/>
                <w:szCs w:val="20"/>
              </w:rPr>
              <w:t xml:space="preserve"> Senior auditor and above), </w:t>
            </w:r>
          </w:p>
          <w:p w14:paraId="6A744EAA" w14:textId="6EC63283" w:rsidR="00906B41" w:rsidRPr="00166729" w:rsidRDefault="00906B41" w:rsidP="00E2644C">
            <w:pPr>
              <w:pStyle w:val="ListParagraph"/>
              <w:numPr>
                <w:ilvl w:val="0"/>
                <w:numId w:val="3"/>
              </w:numPr>
              <w:ind w:left="342" w:hanging="342"/>
              <w:jc w:val="both"/>
              <w:rPr>
                <w:rFonts w:ascii="Arial" w:eastAsia="Times New Roman" w:hAnsi="Arial" w:cs="Arial"/>
                <w:sz w:val="20"/>
                <w:szCs w:val="20"/>
              </w:rPr>
            </w:pPr>
            <w:r w:rsidRPr="00166729">
              <w:rPr>
                <w:rFonts w:ascii="Arial" w:eastAsia="Times New Roman" w:hAnsi="Arial" w:cs="Arial"/>
                <w:sz w:val="20"/>
                <w:szCs w:val="20"/>
              </w:rPr>
              <w:t xml:space="preserve">Institution nominated Government Validator, </w:t>
            </w:r>
          </w:p>
          <w:p w14:paraId="76332FAB" w14:textId="68AA7B4A" w:rsidR="00906B41" w:rsidRPr="00166729" w:rsidRDefault="00906B41" w:rsidP="00E2644C">
            <w:pPr>
              <w:pStyle w:val="ListParagraph"/>
              <w:numPr>
                <w:ilvl w:val="0"/>
                <w:numId w:val="3"/>
              </w:numPr>
              <w:ind w:left="342" w:hanging="342"/>
              <w:jc w:val="both"/>
              <w:rPr>
                <w:rFonts w:ascii="Arial" w:hAnsi="Arial" w:cs="Arial"/>
                <w:sz w:val="20"/>
                <w:szCs w:val="20"/>
                <w:lang w:val="en-GB"/>
              </w:rPr>
            </w:pPr>
            <w:r w:rsidRPr="00166729">
              <w:rPr>
                <w:rFonts w:ascii="Arial" w:eastAsia="Times New Roman" w:hAnsi="Arial" w:cs="Arial"/>
                <w:sz w:val="20"/>
                <w:szCs w:val="20"/>
              </w:rPr>
              <w:t>Institution appointed External Independent Assessor/ Assessment Team.</w:t>
            </w:r>
          </w:p>
        </w:tc>
        <w:tc>
          <w:tcPr>
            <w:tcW w:w="4094" w:type="dxa"/>
            <w:tcBorders>
              <w:top w:val="dotted" w:sz="4" w:space="0" w:color="auto"/>
              <w:left w:val="dotted" w:sz="4" w:space="0" w:color="auto"/>
              <w:bottom w:val="dotted" w:sz="4" w:space="0" w:color="auto"/>
              <w:right w:val="dotted" w:sz="4" w:space="0" w:color="auto"/>
            </w:tcBorders>
          </w:tcPr>
          <w:p w14:paraId="71780B8B" w14:textId="275A91DF" w:rsidR="00906B41" w:rsidRPr="00166729" w:rsidRDefault="00906B41" w:rsidP="00E2644C">
            <w:pPr>
              <w:jc w:val="both"/>
              <w:rPr>
                <w:rFonts w:ascii="Arial" w:hAnsi="Arial" w:cs="Arial"/>
                <w:sz w:val="20"/>
                <w:szCs w:val="20"/>
                <w:lang w:val="en-GB"/>
              </w:rPr>
            </w:pPr>
            <w:r w:rsidRPr="00166729">
              <w:rPr>
                <w:rFonts w:ascii="Arial" w:hAnsi="Arial" w:cs="Arial"/>
                <w:sz w:val="20"/>
                <w:szCs w:val="20"/>
                <w:lang w:val="en-GB"/>
              </w:rPr>
              <w:t>Applicable Internal Audit Function (IAF)</w:t>
            </w:r>
            <w:r w:rsidR="00F470B2" w:rsidRPr="00166729">
              <w:rPr>
                <w:rFonts w:ascii="Arial" w:hAnsi="Arial" w:cs="Arial"/>
                <w:sz w:val="20"/>
                <w:szCs w:val="20"/>
                <w:lang w:val="en-GB"/>
              </w:rPr>
              <w:t xml:space="preserve"> and those listed whom the Head of Internal Audit grants access to</w:t>
            </w:r>
          </w:p>
        </w:tc>
      </w:tr>
    </w:tbl>
    <w:p w14:paraId="582617AD" w14:textId="507B25A4" w:rsidR="00AA2C89" w:rsidRDefault="00AA2C89" w:rsidP="00E2644C">
      <w:pPr>
        <w:jc w:val="both"/>
        <w:rPr>
          <w:rFonts w:ascii="Arial" w:hAnsi="Arial" w:cs="Arial"/>
          <w:sz w:val="20"/>
          <w:szCs w:val="20"/>
          <w:lang w:val="en-GB"/>
        </w:rPr>
      </w:pPr>
    </w:p>
    <w:p w14:paraId="764FA055" w14:textId="77777777" w:rsidR="00CE354E" w:rsidRPr="00166729" w:rsidRDefault="00CE354E" w:rsidP="00E2644C">
      <w:pPr>
        <w:pStyle w:val="ListParagraph"/>
        <w:numPr>
          <w:ilvl w:val="0"/>
          <w:numId w:val="1"/>
        </w:numPr>
        <w:ind w:left="426" w:hanging="426"/>
        <w:jc w:val="both"/>
        <w:rPr>
          <w:rStyle w:val="IntenseReference"/>
          <w:rFonts w:ascii="Arial" w:hAnsi="Arial" w:cs="Arial"/>
          <w:color w:val="C00000"/>
          <w:sz w:val="20"/>
          <w:szCs w:val="20"/>
        </w:rPr>
      </w:pPr>
      <w:r w:rsidRPr="00166729">
        <w:rPr>
          <w:rStyle w:val="IntenseReference"/>
          <w:rFonts w:ascii="Arial" w:hAnsi="Arial" w:cs="Arial"/>
          <w:color w:val="C00000"/>
          <w:sz w:val="20"/>
          <w:szCs w:val="20"/>
        </w:rPr>
        <w:t>retention of data</w:t>
      </w:r>
    </w:p>
    <w:p w14:paraId="30B2ADBE" w14:textId="76055DBD" w:rsidR="00CE354E" w:rsidRPr="00A50659" w:rsidRDefault="00CE354E" w:rsidP="000B350A">
      <w:pPr>
        <w:jc w:val="both"/>
        <w:rPr>
          <w:rFonts w:ascii="Arial" w:hAnsi="Arial" w:cs="Arial"/>
          <w:sz w:val="20"/>
          <w:szCs w:val="20"/>
          <w:lang w:val="en-GB"/>
        </w:rPr>
      </w:pPr>
      <w:r w:rsidRPr="00166729">
        <w:rPr>
          <w:rFonts w:ascii="Arial" w:hAnsi="Arial" w:cs="Arial"/>
          <w:sz w:val="20"/>
          <w:szCs w:val="20"/>
          <w:lang w:val="en-GB"/>
        </w:rPr>
        <w:t>Data will be retained for a minimum period of five (5) years to allow for institutions to conduct comparative analysis of information and to build up a repertoire of information in preparation towards the external assessment every five (5) years.</w:t>
      </w:r>
    </w:p>
    <w:sectPr w:rsidR="00CE354E" w:rsidRPr="00A5065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3BDCA" w14:textId="77777777" w:rsidR="00191C27" w:rsidRDefault="00191C27" w:rsidP="00692A23">
      <w:pPr>
        <w:spacing w:after="0" w:line="240" w:lineRule="auto"/>
      </w:pPr>
      <w:r>
        <w:separator/>
      </w:r>
    </w:p>
  </w:endnote>
  <w:endnote w:type="continuationSeparator" w:id="0">
    <w:p w14:paraId="6EEED1E3" w14:textId="77777777" w:rsidR="00191C27" w:rsidRDefault="00191C27" w:rsidP="0069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435829824"/>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p w14:paraId="52FBED0D" w14:textId="69BEE38E" w:rsidR="00692A23" w:rsidRPr="00692A23" w:rsidRDefault="00692A23" w:rsidP="00692A23">
            <w:pPr>
              <w:pStyle w:val="Footer"/>
              <w:rPr>
                <w:rFonts w:ascii="Arial" w:hAnsi="Arial" w:cs="Arial"/>
                <w:sz w:val="18"/>
                <w:szCs w:val="18"/>
                <w:lang w:val="en-GB"/>
              </w:rPr>
            </w:pPr>
            <w:r w:rsidRPr="00692A23">
              <w:rPr>
                <w:rFonts w:ascii="Arial" w:hAnsi="Arial" w:cs="Arial"/>
                <w:b/>
                <w:bCs/>
                <w:sz w:val="18"/>
                <w:szCs w:val="18"/>
                <w:lang w:val="en-GB"/>
              </w:rPr>
              <w:t>Data Use and Privacy Statement</w:t>
            </w:r>
            <w:r w:rsidR="000D20BF">
              <w:rPr>
                <w:rFonts w:ascii="Arial" w:hAnsi="Arial" w:cs="Arial"/>
                <w:b/>
                <w:bCs/>
                <w:sz w:val="18"/>
                <w:szCs w:val="18"/>
                <w:lang w:val="en-GB"/>
              </w:rPr>
              <w:t xml:space="preserve"> </w:t>
            </w:r>
            <w:r w:rsidR="007A0D9D">
              <w:rPr>
                <w:rFonts w:ascii="Arial" w:hAnsi="Arial" w:cs="Arial"/>
                <w:b/>
                <w:bCs/>
                <w:sz w:val="18"/>
                <w:szCs w:val="18"/>
                <w:lang w:val="en-GB"/>
              </w:rPr>
              <w:t xml:space="preserve">- </w:t>
            </w:r>
            <w:r w:rsidR="000D20BF">
              <w:rPr>
                <w:rFonts w:ascii="Arial" w:hAnsi="Arial" w:cs="Arial"/>
                <w:b/>
                <w:bCs/>
                <w:sz w:val="18"/>
                <w:szCs w:val="18"/>
                <w:lang w:val="en-GB"/>
              </w:rPr>
              <w:t>Version 0.1</w:t>
            </w:r>
            <w:r w:rsidR="00895429">
              <w:rPr>
                <w:rFonts w:ascii="Arial" w:hAnsi="Arial" w:cs="Arial"/>
                <w:b/>
                <w:bCs/>
                <w:sz w:val="18"/>
                <w:szCs w:val="18"/>
                <w:lang w:val="en-GB"/>
              </w:rPr>
              <w:t xml:space="preserve"> | 012 406 9008 | 012 395 6757</w:t>
            </w:r>
            <w:r w:rsidRPr="00692A23">
              <w:rPr>
                <w:rFonts w:ascii="Arial" w:hAnsi="Arial" w:cs="Arial"/>
                <w:sz w:val="18"/>
                <w:szCs w:val="18"/>
                <w:lang w:val="en-GB"/>
              </w:rPr>
              <w:tab/>
            </w:r>
            <w:r w:rsidRPr="00692A23">
              <w:rPr>
                <w:rFonts w:ascii="Arial" w:hAnsi="Arial" w:cs="Arial"/>
                <w:b/>
                <w:bCs/>
                <w:sz w:val="18"/>
                <w:szCs w:val="18"/>
              </w:rPr>
              <w:fldChar w:fldCharType="begin"/>
            </w:r>
            <w:r w:rsidRPr="00692A23">
              <w:rPr>
                <w:rFonts w:ascii="Arial" w:hAnsi="Arial" w:cs="Arial"/>
                <w:b/>
                <w:bCs/>
                <w:sz w:val="18"/>
                <w:szCs w:val="18"/>
              </w:rPr>
              <w:instrText xml:space="preserve"> PAGE </w:instrText>
            </w:r>
            <w:r w:rsidRPr="00692A23">
              <w:rPr>
                <w:rFonts w:ascii="Arial" w:hAnsi="Arial" w:cs="Arial"/>
                <w:b/>
                <w:bCs/>
                <w:sz w:val="18"/>
                <w:szCs w:val="18"/>
              </w:rPr>
              <w:fldChar w:fldCharType="separate"/>
            </w:r>
            <w:r w:rsidRPr="00692A23">
              <w:rPr>
                <w:rFonts w:ascii="Arial" w:hAnsi="Arial" w:cs="Arial"/>
                <w:b/>
                <w:bCs/>
                <w:noProof/>
                <w:sz w:val="18"/>
                <w:szCs w:val="18"/>
              </w:rPr>
              <w:t>2</w:t>
            </w:r>
            <w:r w:rsidRPr="00692A23">
              <w:rPr>
                <w:rFonts w:ascii="Arial" w:hAnsi="Arial" w:cs="Arial"/>
                <w:b/>
                <w:bCs/>
                <w:sz w:val="18"/>
                <w:szCs w:val="18"/>
              </w:rPr>
              <w:fldChar w:fldCharType="end"/>
            </w:r>
            <w:r w:rsidRPr="00692A23">
              <w:rPr>
                <w:rFonts w:ascii="Arial" w:hAnsi="Arial" w:cs="Arial"/>
                <w:sz w:val="18"/>
                <w:szCs w:val="18"/>
              </w:rPr>
              <w:t xml:space="preserve"> of </w:t>
            </w:r>
            <w:r w:rsidRPr="00692A23">
              <w:rPr>
                <w:rFonts w:ascii="Arial" w:hAnsi="Arial" w:cs="Arial"/>
                <w:b/>
                <w:bCs/>
                <w:sz w:val="18"/>
                <w:szCs w:val="18"/>
              </w:rPr>
              <w:fldChar w:fldCharType="begin"/>
            </w:r>
            <w:r w:rsidRPr="00692A23">
              <w:rPr>
                <w:rFonts w:ascii="Arial" w:hAnsi="Arial" w:cs="Arial"/>
                <w:b/>
                <w:bCs/>
                <w:sz w:val="18"/>
                <w:szCs w:val="18"/>
              </w:rPr>
              <w:instrText xml:space="preserve"> NUMPAGES  </w:instrText>
            </w:r>
            <w:r w:rsidRPr="00692A23">
              <w:rPr>
                <w:rFonts w:ascii="Arial" w:hAnsi="Arial" w:cs="Arial"/>
                <w:b/>
                <w:bCs/>
                <w:sz w:val="18"/>
                <w:szCs w:val="18"/>
              </w:rPr>
              <w:fldChar w:fldCharType="separate"/>
            </w:r>
            <w:r w:rsidRPr="00692A23">
              <w:rPr>
                <w:rFonts w:ascii="Arial" w:hAnsi="Arial" w:cs="Arial"/>
                <w:b/>
                <w:bCs/>
                <w:noProof/>
                <w:sz w:val="18"/>
                <w:szCs w:val="18"/>
              </w:rPr>
              <w:t>2</w:t>
            </w:r>
            <w:r w:rsidRPr="00692A23">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0E112" w14:textId="77777777" w:rsidR="00191C27" w:rsidRDefault="00191C27" w:rsidP="00692A23">
      <w:pPr>
        <w:spacing w:after="0" w:line="240" w:lineRule="auto"/>
      </w:pPr>
      <w:r>
        <w:separator/>
      </w:r>
    </w:p>
  </w:footnote>
  <w:footnote w:type="continuationSeparator" w:id="0">
    <w:p w14:paraId="6FDE9751" w14:textId="77777777" w:rsidR="00191C27" w:rsidRDefault="00191C27" w:rsidP="00692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3C19A" w14:textId="00062CE6" w:rsidR="00692A23" w:rsidRDefault="00692A23">
    <w:pPr>
      <w:pStyle w:val="Header"/>
    </w:pPr>
    <w:r>
      <w:rPr>
        <w:noProof/>
        <w:lang w:eastAsia="en-ZA"/>
      </w:rPr>
      <w:drawing>
        <wp:inline distT="0" distB="0" distL="0" distR="0" wp14:anchorId="6FC0412B" wp14:editId="3D90F5A6">
          <wp:extent cx="2105025" cy="714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714375"/>
                  </a:xfrm>
                  <a:prstGeom prst="rect">
                    <a:avLst/>
                  </a:prstGeom>
                  <a:noFill/>
                  <a:ln>
                    <a:noFill/>
                  </a:ln>
                </pic:spPr>
              </pic:pic>
            </a:graphicData>
          </a:graphic>
        </wp:inline>
      </w:drawing>
    </w:r>
  </w:p>
  <w:p w14:paraId="07F51D5E" w14:textId="77777777" w:rsidR="00390037" w:rsidRDefault="00390037">
    <w:pPr>
      <w:pStyle w:val="Header"/>
    </w:pPr>
  </w:p>
  <w:p w14:paraId="779358A9" w14:textId="77777777" w:rsidR="00692A23" w:rsidRDefault="00692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55F61"/>
    <w:multiLevelType w:val="hybridMultilevel"/>
    <w:tmpl w:val="D5A81074"/>
    <w:lvl w:ilvl="0" w:tplc="B7FA707C">
      <w:start w:val="1"/>
      <w:numFmt w:val="lowerRoman"/>
      <w:lvlText w:val="%1."/>
      <w:lvlJc w:val="left"/>
      <w:pPr>
        <w:ind w:left="720" w:hanging="360"/>
      </w:pPr>
      <w:rPr>
        <w:rFonts w:asciiTheme="minorHAnsi" w:eastAsia="Times New Roman" w:hAnsiTheme="minorHAnsi" w:cstheme="minorBidi"/>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E601AAA"/>
    <w:multiLevelType w:val="hybridMultilevel"/>
    <w:tmpl w:val="04BE5072"/>
    <w:lvl w:ilvl="0" w:tplc="A866D5B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69764D9"/>
    <w:multiLevelType w:val="hybridMultilevel"/>
    <w:tmpl w:val="B5DA21B4"/>
    <w:lvl w:ilvl="0" w:tplc="B6C8A9C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94906FE"/>
    <w:multiLevelType w:val="hybridMultilevel"/>
    <w:tmpl w:val="BE2C445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5CB43AC"/>
    <w:multiLevelType w:val="hybridMultilevel"/>
    <w:tmpl w:val="FDC872F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563323412">
    <w:abstractNumId w:val="4"/>
  </w:num>
  <w:num w:numId="2" w16cid:durableId="630205494">
    <w:abstractNumId w:val="3"/>
  </w:num>
  <w:num w:numId="3" w16cid:durableId="629633063">
    <w:abstractNumId w:val="0"/>
  </w:num>
  <w:num w:numId="4" w16cid:durableId="1722823615">
    <w:abstractNumId w:val="1"/>
  </w:num>
  <w:num w:numId="5" w16cid:durableId="4376746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5B"/>
    <w:rsid w:val="000B350A"/>
    <w:rsid w:val="000D20BF"/>
    <w:rsid w:val="000D4355"/>
    <w:rsid w:val="000D4F10"/>
    <w:rsid w:val="000D53CE"/>
    <w:rsid w:val="000D6A90"/>
    <w:rsid w:val="00144C9A"/>
    <w:rsid w:val="00166729"/>
    <w:rsid w:val="00191C27"/>
    <w:rsid w:val="001D3CB0"/>
    <w:rsid w:val="00272CBC"/>
    <w:rsid w:val="002919A2"/>
    <w:rsid w:val="002A0641"/>
    <w:rsid w:val="002D0E28"/>
    <w:rsid w:val="002F3588"/>
    <w:rsid w:val="00390037"/>
    <w:rsid w:val="00396659"/>
    <w:rsid w:val="00455F07"/>
    <w:rsid w:val="0046688B"/>
    <w:rsid w:val="0047491B"/>
    <w:rsid w:val="004B34C5"/>
    <w:rsid w:val="004C1641"/>
    <w:rsid w:val="00535C5B"/>
    <w:rsid w:val="0056104D"/>
    <w:rsid w:val="0058611B"/>
    <w:rsid w:val="005E6A2E"/>
    <w:rsid w:val="00650A0B"/>
    <w:rsid w:val="00660564"/>
    <w:rsid w:val="006839BC"/>
    <w:rsid w:val="00692A23"/>
    <w:rsid w:val="00712A97"/>
    <w:rsid w:val="007414EC"/>
    <w:rsid w:val="007A0D9D"/>
    <w:rsid w:val="007C196B"/>
    <w:rsid w:val="00834701"/>
    <w:rsid w:val="00895429"/>
    <w:rsid w:val="00906B41"/>
    <w:rsid w:val="00930054"/>
    <w:rsid w:val="00946D20"/>
    <w:rsid w:val="009B12D3"/>
    <w:rsid w:val="00A11B90"/>
    <w:rsid w:val="00A150C5"/>
    <w:rsid w:val="00A50659"/>
    <w:rsid w:val="00A93A9F"/>
    <w:rsid w:val="00AA2C89"/>
    <w:rsid w:val="00AF36FA"/>
    <w:rsid w:val="00BC57EF"/>
    <w:rsid w:val="00C24587"/>
    <w:rsid w:val="00C8314B"/>
    <w:rsid w:val="00CC2285"/>
    <w:rsid w:val="00CD5EB6"/>
    <w:rsid w:val="00CE0D45"/>
    <w:rsid w:val="00CE354E"/>
    <w:rsid w:val="00D37249"/>
    <w:rsid w:val="00D37379"/>
    <w:rsid w:val="00D722DE"/>
    <w:rsid w:val="00E25929"/>
    <w:rsid w:val="00E2644C"/>
    <w:rsid w:val="00E302EF"/>
    <w:rsid w:val="00E3457C"/>
    <w:rsid w:val="00ED184C"/>
    <w:rsid w:val="00F470B2"/>
    <w:rsid w:val="00F556EB"/>
    <w:rsid w:val="00F71521"/>
    <w:rsid w:val="00FA7CA9"/>
    <w:rsid w:val="00FD0BEF"/>
    <w:rsid w:val="00FF28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7E46"/>
  <w15:chartTrackingRefBased/>
  <w15:docId w15:val="{80591946-4F53-4F48-AC8C-6A43E0F1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4B34C5"/>
    <w:rPr>
      <w:b/>
      <w:bCs/>
      <w:smallCaps/>
      <w:color w:val="4472C4" w:themeColor="accent1"/>
      <w:spacing w:val="5"/>
    </w:rPr>
  </w:style>
  <w:style w:type="paragraph" w:styleId="ListParagraph">
    <w:name w:val="List Paragraph"/>
    <w:basedOn w:val="Normal"/>
    <w:uiPriority w:val="34"/>
    <w:qFormat/>
    <w:rsid w:val="004B34C5"/>
    <w:pPr>
      <w:ind w:left="720"/>
      <w:contextualSpacing/>
    </w:pPr>
  </w:style>
  <w:style w:type="table" w:styleId="TableGrid">
    <w:name w:val="Table Grid"/>
    <w:basedOn w:val="TableNormal"/>
    <w:uiPriority w:val="39"/>
    <w:rsid w:val="00A15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2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A23"/>
  </w:style>
  <w:style w:type="paragraph" w:styleId="Footer">
    <w:name w:val="footer"/>
    <w:basedOn w:val="Normal"/>
    <w:link w:val="FooterChar"/>
    <w:uiPriority w:val="99"/>
    <w:unhideWhenUsed/>
    <w:rsid w:val="00692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A23"/>
  </w:style>
  <w:style w:type="paragraph" w:styleId="Revision">
    <w:name w:val="Revision"/>
    <w:hidden/>
    <w:uiPriority w:val="99"/>
    <w:semiHidden/>
    <w:rsid w:val="00FD0B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078683">
      <w:bodyDiv w:val="1"/>
      <w:marLeft w:val="0"/>
      <w:marRight w:val="0"/>
      <w:marTop w:val="0"/>
      <w:marBottom w:val="0"/>
      <w:divBdr>
        <w:top w:val="none" w:sz="0" w:space="0" w:color="auto"/>
        <w:left w:val="none" w:sz="0" w:space="0" w:color="auto"/>
        <w:bottom w:val="none" w:sz="0" w:space="0" w:color="auto"/>
        <w:right w:val="none" w:sz="0" w:space="0" w:color="auto"/>
      </w:divBdr>
    </w:div>
    <w:div w:id="117592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5DBF3-CB59-4CDD-B04D-719CAA1D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Zondre Seitei</dc:creator>
  <cp:keywords/>
  <dc:description/>
  <cp:lastModifiedBy>Zondre Seitei</cp:lastModifiedBy>
  <cp:revision>92</cp:revision>
  <dcterms:created xsi:type="dcterms:W3CDTF">2022-10-24T07:07:00Z</dcterms:created>
  <dcterms:modified xsi:type="dcterms:W3CDTF">2022-11-07T11:53:00Z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2022-10-24T07:22:20Z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db4caae8-75b1-4f9b-b86a-da4ae635f859</vt:lpwstr>
  </property>
  <property fmtid="{D5CDD505-2E9C-101B-9397-08002B2CF9AE}" pid="8" name="MSIP_Label_93c4247e-447d-4732-af29-2e529a4288f1_ContentBits">
    <vt:lpwstr>0</vt:lpwstr>
  </property>
</Properties>
</file>